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B" w:rsidRDefault="00F709FB" w:rsidP="00F709FB">
      <w:pPr>
        <w:pStyle w:val="2"/>
      </w:pPr>
      <w:bookmarkStart w:id="0" w:name="_GoBack"/>
      <w:r>
        <w:t xml:space="preserve">Статья 129. </w:t>
      </w:r>
      <w:proofErr w:type="spellStart"/>
      <w:r>
        <w:t>Оборотоспособность</w:t>
      </w:r>
      <w:proofErr w:type="spellEnd"/>
      <w:r>
        <w:t xml:space="preserve"> объектов гражданских прав</w:t>
      </w:r>
    </w:p>
    <w:bookmarkEnd w:id="0"/>
    <w:p w:rsidR="00F709FB" w:rsidRDefault="00F709FB" w:rsidP="00F709FB">
      <w:r w:rsidRPr="00F709FB">
        <w:t>[Гражданский кодекс РФ]</w:t>
      </w:r>
      <w:r>
        <w:t xml:space="preserve"> </w:t>
      </w:r>
      <w:r w:rsidRPr="00F709FB">
        <w:t>[Глава 6]</w:t>
      </w:r>
      <w:r>
        <w:t xml:space="preserve"> </w:t>
      </w:r>
      <w:r w:rsidRPr="00F709FB">
        <w:t>[Статья 129]</w:t>
      </w:r>
      <w:r>
        <w:t xml:space="preserve"> </w:t>
      </w:r>
    </w:p>
    <w:p w:rsidR="00F709FB" w:rsidRDefault="00F709FB" w:rsidP="00F709FB">
      <w:pPr>
        <w:pStyle w:val="a4"/>
      </w:pPr>
      <w:r>
        <w:t>1. Объекты гражданских прав могут свободно отчуждаться или переходить от одного лица к другому в порядке универсального правопреемства (наследование, реорганизация юридического лица) либо иным способом, если они не ограничены в обороте.</w:t>
      </w:r>
    </w:p>
    <w:p w:rsidR="00F709FB" w:rsidRDefault="00F709FB" w:rsidP="00F709FB">
      <w:pPr>
        <w:pStyle w:val="a4"/>
      </w:pPr>
      <w:r>
        <w:t xml:space="preserve">2. Законом или в установленном законом порядке могут быть введены ограничения </w:t>
      </w:r>
      <w:proofErr w:type="spellStart"/>
      <w:r>
        <w:t>оборотоспособности</w:t>
      </w:r>
      <w:proofErr w:type="spellEnd"/>
      <w:r>
        <w:t xml:space="preserve"> объектов гражданских прав, в частности могут быть предусмотрены виды объектов гражданских прав, которые могут принадлежать лишь определенным участникам оборота либо совершение </w:t>
      </w:r>
      <w:proofErr w:type="gramStart"/>
      <w:r>
        <w:t>сделок</w:t>
      </w:r>
      <w:proofErr w:type="gramEnd"/>
      <w:r>
        <w:t xml:space="preserve"> с которыми допускается по специальному разрешению.</w:t>
      </w:r>
    </w:p>
    <w:p w:rsidR="00F709FB" w:rsidRDefault="00F709FB" w:rsidP="00F709FB">
      <w:pPr>
        <w:pStyle w:val="a4"/>
      </w:pPr>
      <w:r>
        <w:t>3. Земля и другие природные ресурсы могут отчуждаться или переходить от одного лица к другому иными способами в той мере, в какой их оборот допускается законами о земле и других природных ресурсах.</w:t>
      </w:r>
    </w:p>
    <w:p w:rsidR="00F709FB" w:rsidRDefault="00F709FB" w:rsidP="00F709FB">
      <w:pPr>
        <w:pStyle w:val="a4"/>
      </w:pPr>
      <w:r>
        <w:t>4. Результаты интеллектуальной деятельности и приравненные к ним средства индивидуализации (статья 1225) не могут отчуждаться или иными способами переходить от одного лица к другому. Однако права на такие результаты и средства, а также материальные носители, в которых выражены соответствующие результаты или средства, могут отчуждаться или иными способами переходить от одного лица к другому в случаях и в порядке, которые установлены настоящим Кодексом.</w:t>
      </w:r>
    </w:p>
    <w:p w:rsidR="00BC5E36" w:rsidRPr="00F709FB" w:rsidRDefault="00BC5E36" w:rsidP="00F709FB"/>
    <w:sectPr w:rsidR="00BC5E36" w:rsidRPr="00F7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09F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84C3-4E75-4DAF-B182-EC4CCE8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2015-12-23T07:56:00Z</dcterms:created>
  <dcterms:modified xsi:type="dcterms:W3CDTF">2015-12-23T07:56:00Z</dcterms:modified>
</cp:coreProperties>
</file>