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9BF" w:rsidRDefault="00D169BF" w:rsidP="00D169BF">
      <w:pPr>
        <w:pStyle w:val="ConsPlusNormal"/>
        <w:ind w:firstLine="540"/>
        <w:jc w:val="both"/>
      </w:pPr>
      <w:r>
        <w:t>Статья 99. Основания предоставления специализированных жилых помещений</w:t>
      </w:r>
    </w:p>
    <w:p w:rsidR="00D169BF" w:rsidRDefault="00D169BF" w:rsidP="00D169BF">
      <w:pPr>
        <w:pStyle w:val="ConsPlusNormal"/>
        <w:ind w:firstLine="540"/>
        <w:jc w:val="both"/>
      </w:pPr>
    </w:p>
    <w:p w:rsidR="00D169BF" w:rsidRDefault="00D169BF" w:rsidP="00D169BF">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D169BF" w:rsidRDefault="00D169BF" w:rsidP="00D169BF">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F96414" w:rsidRDefault="00F96414">
      <w:bookmarkStart w:id="0" w:name="_GoBack"/>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EE"/>
    <w:rsid w:val="00D169BF"/>
    <w:rsid w:val="00ED1FEE"/>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9B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9B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2016-01-12T14:03:00Z</dcterms:created>
  <dcterms:modified xsi:type="dcterms:W3CDTF">2016-01-12T14:04:00Z</dcterms:modified>
</cp:coreProperties>
</file>