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РОССИЙСКАЯ ФЕДЕРАЦИЯ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ФЕДЕРАЛЬНЫЙ ЗАКОН</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ОБ ОЦЕНОЧНОЙ ДЕЯТЕЛЬНОСТИ В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N 135-ФЗ от 29 июля 1998 года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Принят</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Государственной Думой</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 xml:space="preserve">16 июля 1998 года </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Одобрен</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Советом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17 июля 1998 года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ред. Федеральных законов от 21.12.2001 N 178-ФЗ,</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 21.03.2002 N 31-ФЗ, от 14.11.2002 N 143-ФЗ,</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 10.01.2003 N 15-ФЗ, от 27.02.2003 N 29-ФЗ)</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Глава I. Общие положения</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 Законодательство, регулирующее оценочную деятельность в Российской Федерации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Законодательство, регулирующее оценочную деятельность в Российской Федерации,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а также из международных договоров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Субъекты Российской Федерации регулируют оценочную деятельность в порядке, установленном настоящим Федеральным законом.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оценочной деятельности, применяются правила международного договора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 Отношения, регулируемые настоящим Федеральным законом</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3. Понятие оценочной деятельности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Для целей настоящего Федерального закона под оценочной деятельностью понимается деятельность субъектов оценочной деятельности, направленная на установление в отношении объектов оценки рыночной или иной стоимости.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одна из сторон сделки не обязана отчуждать объект оценки, а другая сторона не обязана принимать исполнение;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стороны сделки хорошо осведомлены о предмете сделки и действуют в своих интересах;</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объект оценки представлен на открытом рынке посредством публичной оферты, типичной для аналогичных объектов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платеж за объект оценки выражен в денежной форме.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4. Субъекты оценочной деятельности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Субъектами оценочной деятельности признаются, с одной стороны, юридические лица и физические лица (индивидуальные предприниматели), деятельность которых регулируется настоящим Федеральным законом (оценщики), а с другой - потребители их услуг (заказчики).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Статья 5. Объекты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К объектам оценки относятся: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отдельные материальные объекты (вещи);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право собственности и иные вещные права на имущество или отдельные вещи из состава имущества;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права требования, обязательства (долги);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работы, услуги, информация;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7. Предположение об установлении рыночной стоимости объекта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8. Обязательность проведения оценки объектов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а также при возникновении спора о стоимости объекта оценки, в том числе: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национализации имущества;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w:t>
      </w:r>
      <w:r w:rsidRPr="00E021E8">
        <w:rPr>
          <w:rFonts w:ascii="Times New Roman" w:hAnsi="Times New Roman" w:cs="Times New Roman"/>
          <w:sz w:val="24"/>
          <w:szCs w:val="24"/>
        </w:rPr>
        <w:lastRenderedPageBreak/>
        <w:t>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 и в случаях, установленных Федеральным законом "Об особенностях управления и распоряжения имуществом железнодорожного транспорта".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Глава II. Основания для осуществления оценочной деятельности и условия ее осуществления</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9. Основания для проведения оценки объекта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Основанием для проведения оценки объекта оценки является договор между оценщиком и заказчиком.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Договором между оценщиком и заказчиком может быть предусмотрено проведение данным оценщиком оценки конкретного объекта оценки, ряда объектов оценки либо долговременное обслуживание заказчика по его заявлениям.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10. Обязательные требования к договору</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Договор между оценщиком и заказчиком заключается в письменной форме и не требует нотариального удостоверения.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Договор должен содержать:</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основания заключения договора;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вид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вид определяемой стоимости (стоимостей)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денежное вознаграждение за проведение оценки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сведения о страховании гражданской ответственности оценщика.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договор в обязательном порядке включаются сведения о наличии у оценщика лицензии на осуществление оценочной деятельности с указанием порядкового номера и даты выдачи этой лицензии, органа, ее выдавшего, а также срока, на который данная лицензия выдана.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Договор об оценке как единичного объекта оценки, так и ряда объектов оценки должен содержать точное указание на этот объект оценки (объекты оценки), а также его (их) описание.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отношении оценки объектов оценки, принадлежащих Российской Федерации, субъектам Российской Федерации или муниципальным образованиям, договор заключается оценщиком с лицом, уполномоченным собственником на совершение сделки с объектами оценки, если иное не установлено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11. Общие требования к содержанию отчета об оценке объекта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Надлежащим исполнением оценщиком своих обязанностей, возложенных на него договором, являются своевременное составление в письменной форме и передача заказчику отчета об оценке объекта оценки (далее - отчет).</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случае, если при проведении оценки объекта оценки определяется не рыночная стоимость, а иные виды стоимости, в отчете должны быть указаны критерии установления оценки объекта оценки и причины отступления от возможности определения рыночной стоимости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отчете должны быть указаны:</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дата составления и порядковый номер отчета;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основание для проведения оценщиком оценки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место нахождения оценщика и сведения о выданной ему лицензии на осуществление оценочной деятельности по данному виду имущества;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дата определения стоимости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перечень документов, используемых оценщиком и устанавливающих количественные и качественные характеристики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Отчет должен быть пронумерован постранично, прошит, скреплен печатью, а также подписан оценщиком - индивидуальным предпринимателем или работником юридического лица, который соответствует требованиям статьи 24 настоящего Федерального закона и осуществил оценку объекта оценки, и его руководителем.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12. Достоверность отчета как документа, содержащего сведения доказательственного значения</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13. Оспоримость сведений, содержащихся в отчете</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w:t>
      </w:r>
      <w:r w:rsidRPr="00E021E8">
        <w:rPr>
          <w:rFonts w:ascii="Times New Roman" w:hAnsi="Times New Roman" w:cs="Times New Roman"/>
          <w:sz w:val="24"/>
          <w:szCs w:val="24"/>
        </w:rPr>
        <w:lastRenderedPageBreak/>
        <w:t>обязательности совершения сделки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14. Права оценщика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Оценщик имеет право:</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применять самостоятельно методы проведения оценки объекта оценки в соответствии со стандартами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получать разъяснения и дополнительные сведения, необходимые для осуществления данной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15. Обязанности оценщика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Оценщик обязан:</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соблюдать при осуществлении оценочной деятельности требования настоящего Федерального закона, а также принятых на его основе нормативных правовых актов Российской Федерации и нормативных правовых актов субъектов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обеспечивать сохранность документов, получаемых от заказчика и третьих лиц в ходе проведения оценки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предоставлять заказчику информацию о требованиях законодательства Российской Федерации об оценочной деятельности, об уставе и о кодексе этики соответствующей саморегулируемой организации (профессионального общественного объединения оценщиков или некоммерческой организации оценщиков), на членство в которой ссылается оценщик в своем отчете;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предоставлять по требованию заказчика лицензию на осуществление оценочной деятельности, страховой полис и документ об образовании, подтверждающий получение профессиональных знаний в области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не разглашать конфиденциальную информацию, полученную от заказчика в ходе проведения оценки объекта оценки, за исключением случаев, предусмотренных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хранить копии составленных отчетов в течение трех лет;</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16. Независимость оценщика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Оценка объекта оценки не может проводиться оценщиком, если он является учредителем, собственником, акционером или должностным лицом юридического лица либо заказчиком или физическим лицом, имеющим имущественный интерес в объекте оценки, или состоит с указанными лицами в близком родстве или свойстве.</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Проведение оценки объекта оценки не допускается, если: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отношении объекта оценки оценщик имеет вещные или обязательственные права вне договора;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оценщик является учредителем, собственником, акционером, кредитором, страховщиком юридического лица либо юридическое лицо является учредителем, акционером, кредитором, страховщиком оценочной фирмы.</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Размер оплаты оценщику за проведение оценки объекта оценки не может зависеть от итоговой величины стоимости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17. Страхование гражданской ответственности оценщиков</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Страхование гражданской ответственности оценщиков является условием, обеспечивающим защиту прав потребителей услуг оценщиков, и осуществляется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Страховым случаем является причинение убытков третьим лицам в связи с осуществлением оценщиком своей деятельности, установленное вступившим в законную силу решением суда, арбитражного суда или третейского суда.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Оценщик не вправе заниматься оценочной деятельностью без заключения договора страхования.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Наличие страхового полиса является обязательным условием для заключения договора об оценке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Страхование гражданской ответственности оценщиков может осуществляться в форме заключения договора страхования по конкретному виду оценочной деятельности (в зависимости от объекта оценки) либо по конкретному договору об оценке объекта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Глава III. Регулирование оценочной деятельности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18. Контроль за осуществлением оценочной деятельности в Российской Федерации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Контроль за осуществлением оценочной деятельности в Российской Федерации осуществляют органы, уполномоченные Правительством Российской Федерации и субъектами Российской Федерации (далее - уполномоченные органы), в рамках своей компетенции, установленной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Примечание. Согласно постановлению Правительства РФ от 20 августа 1999 г. N 932 уполномоченным органом по контролю за осуществлением оценочной деятельности в РФ является Мингосимущество РФ</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19. Функции уполномоченных органов</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Функциями уполномоченных органов являются: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контроль за осуществлением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регулирование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взаимодействие с органами государственной власти по вопросам оценочной деятельности и координация их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согласование проектов стандартов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согласование перечня требований, предъявляемых к образовательным учреждениям, осуществляющим профессиональную подготовку оценщиков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Примечание. Распоряжением Мингосимущества РФ от 12 октября 1999 г. N 1395-р утверждено Положение о Межведомственном совете по вопросам регулирования оценочной деятельности в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Состав Совета утвержден распоряжением Мингосимущества РФ от 25 февраля 2000 г. N 245-р</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20. Стандарты оценки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Стандарты оценки, обязательные к применению субъектами оценочной деятельности, разрабатываются и утверждаются Правительством Российской Федерации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21. Профессиональное обучение оценщиков</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Профессиональное обучение оценщиков осуществляется высшими государственными или частными учебными заведениями, специально создаваемыми для этой цели, или на базе факультетов (отделений, кафедр) высших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22. Саморегулируемые организации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Дополнительно к государственному регулированию саморегулирование оценочной деятельности осуществляется саморегулируемыми организациями оценщиков и распространяется на членов таких саморегулируемых организаций.</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В целях саморегулирования оценочной деятельности оценщики вправе объединяться в ассоциации, союзы, иные некоммерческие организации.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Саморегулируемые организации оценщиков могут выполнять следующие функции: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защищать интересы оценщиков;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содействовать повышению уровня профессиональной подготовки оценщиков;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содействовать разработке образовательных программ по профессиональному обучению оценщиков;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разрабатывать собственные стандарты оценки;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lastRenderedPageBreak/>
        <w:t>разрабатывать и поддерживать собственные системы контроля качества осуществления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23. Лицензирование оценочной деятельности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Лицензирование оценочной деятельности осуществляется в соответствии с законодательством 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Орган, выдающий лицензию на осуществление оценочной деятельности, осуществляет контроль за соблюдением требований к осуществлению этой деятельности оценщиками в соответствии с настоящим Федеральным законом и законодательством Российской Федерации о лицензировании.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24. Требования к осуществлению оценочной деятельности</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Примечание. О предоставлении информации юридическими лицами и индивидуальными предпринимателями, имею</w:t>
      </w:r>
      <w:bookmarkStart w:id="0" w:name="_GoBack"/>
      <w:bookmarkEnd w:id="0"/>
      <w:r w:rsidRPr="00E021E8">
        <w:rPr>
          <w:rFonts w:ascii="Times New Roman" w:hAnsi="Times New Roman" w:cs="Times New Roman"/>
          <w:sz w:val="24"/>
          <w:szCs w:val="24"/>
        </w:rPr>
        <w:t>щими лицензию на осуществление оценочной деятельности см. распоряжение Минимущества РФ от 2 сентября 2002 г. N 3061-р</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Требованиями к осуществлению оценочной деятельности для физического лица являются: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соблюдение законодательства Российской Федерации об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государственная регистрация в качестве индивидуального предпринимателя;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наличие документа об образовании, подтверждающего получение профессиональных знаний в области оценочной деятельности в соответствии с согласованными с уполномоченным Правительством Российской Федерации органом по контролю за осуществлением оценочной деятельности профессиональными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работников.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Требованиями к осуществлению оценочной деятельности для юридического лица являются: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соблюдение законодательства Российской Федерации об оценочной деятельности;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государственная регистрация в качестве юридического лица;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 xml:space="preserve">наличие в штате юридического лица не менее одного работника, для которого данное юридическое лицо является основным местом работы и который имеет документ об образовании, подтверждающий получение профессиональных знаний в области оценочной деятельности в соответствии с согласованными с уполномоченным Правительством Российской Федерации органом по контролю за осуществлением оценочной деятельности профессиональными образовательными программами высшего </w:t>
      </w:r>
      <w:r w:rsidRPr="00E021E8">
        <w:rPr>
          <w:rFonts w:ascii="Times New Roman" w:hAnsi="Times New Roman" w:cs="Times New Roman"/>
          <w:sz w:val="24"/>
          <w:szCs w:val="24"/>
        </w:rPr>
        <w:lastRenderedPageBreak/>
        <w:t>профессионального образования, дополнительного профессионального образования или программами профессиональной переподготовки работников.</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Глава IV. Заключительные положения</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25. Вступление в силу настоящего Федерального закона</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Статья 26. Приведение нормативных правовых актов в соответствие с настоящим Федеральным законом</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Президент</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Российской Федерации</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Б.Ельцин</w:t>
      </w:r>
    </w:p>
    <w:p w:rsidR="00E021E8" w:rsidRPr="00E021E8" w:rsidRDefault="00E021E8" w:rsidP="00E021E8">
      <w:pPr>
        <w:jc w:val="both"/>
        <w:rPr>
          <w:rFonts w:ascii="Times New Roman" w:hAnsi="Times New Roman" w:cs="Times New Roman"/>
          <w:sz w:val="24"/>
          <w:szCs w:val="24"/>
        </w:rPr>
      </w:pP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Москва, Кремль</w:t>
      </w:r>
    </w:p>
    <w:p w:rsidR="00E021E8"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29 июля 1998 г.</w:t>
      </w:r>
    </w:p>
    <w:p w:rsidR="00F96414" w:rsidRPr="00E021E8" w:rsidRDefault="00E021E8" w:rsidP="00E021E8">
      <w:pPr>
        <w:jc w:val="both"/>
        <w:rPr>
          <w:rFonts w:ascii="Times New Roman" w:hAnsi="Times New Roman" w:cs="Times New Roman"/>
          <w:sz w:val="24"/>
          <w:szCs w:val="24"/>
        </w:rPr>
      </w:pPr>
      <w:r w:rsidRPr="00E021E8">
        <w:rPr>
          <w:rFonts w:ascii="Times New Roman" w:hAnsi="Times New Roman" w:cs="Times New Roman"/>
          <w:sz w:val="24"/>
          <w:szCs w:val="24"/>
        </w:rPr>
        <w:t>N 135-ФЗ</w:t>
      </w:r>
    </w:p>
    <w:sectPr w:rsidR="00F96414" w:rsidRPr="00E0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2C"/>
    <w:rsid w:val="00E021E8"/>
    <w:rsid w:val="00F96414"/>
    <w:rsid w:val="00FC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3728</Words>
  <Characters>21253</Characters>
  <Application>Microsoft Office Word</Application>
  <DocSecurity>0</DocSecurity>
  <Lines>177</Lines>
  <Paragraphs>49</Paragraphs>
  <ScaleCrop>false</ScaleCrop>
  <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2016-02-08T15:47:00Z</dcterms:created>
  <dcterms:modified xsi:type="dcterms:W3CDTF">2016-02-08T15:48:00Z</dcterms:modified>
</cp:coreProperties>
</file>