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B0" w:rsidRPr="00A816B0" w:rsidRDefault="00A816B0" w:rsidP="00A81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Arial" w:eastAsia="Times New Roman" w:hAnsi="Arial" w:cs="Arial"/>
          <w:sz w:val="20"/>
          <w:szCs w:val="20"/>
          <w:lang w:eastAsia="ru-RU"/>
        </w:rPr>
      </w:pPr>
      <w:r w:rsidRPr="00A816B0">
        <w:rPr>
          <w:rFonts w:ascii="Arial" w:eastAsia="Times New Roman" w:hAnsi="Arial" w:cs="Arial"/>
          <w:sz w:val="20"/>
          <w:szCs w:val="20"/>
          <w:lang w:eastAsia="ru-RU"/>
        </w:rPr>
        <w:t>Статья 165. Последствия несоблюдения нотариальной формы сделки и требования о ее регистрации</w:t>
      </w:r>
    </w:p>
    <w:p w:rsidR="00A816B0" w:rsidRPr="00A816B0" w:rsidRDefault="00A816B0" w:rsidP="00A816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16B0" w:rsidRPr="00A816B0" w:rsidRDefault="00A816B0" w:rsidP="00A8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16B0">
        <w:rPr>
          <w:rFonts w:ascii="Arial" w:eastAsia="Times New Roman" w:hAnsi="Arial" w:cs="Arial"/>
          <w:sz w:val="20"/>
          <w:szCs w:val="20"/>
          <w:lang w:eastAsia="ru-RU"/>
        </w:rPr>
        <w:t>1. Несоблюдение нотариальной формы, а в случаях, установленных законом, - требования о государственной регистрации сделки влечет ее недействительность. Такая сделка считается ничтожной.</w:t>
      </w:r>
    </w:p>
    <w:p w:rsidR="00A816B0" w:rsidRPr="00A816B0" w:rsidRDefault="00A816B0" w:rsidP="00A8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16B0">
        <w:rPr>
          <w:rFonts w:ascii="Arial" w:eastAsia="Times New Roman" w:hAnsi="Arial" w:cs="Arial"/>
          <w:sz w:val="20"/>
          <w:szCs w:val="20"/>
          <w:lang w:eastAsia="ru-RU"/>
        </w:rPr>
        <w:t>2. Если одна из сторон полностью или частично исполнила сделку, требующую нотариального удостоверения, а другая сторона уклоняется от такого удостоверения сделки, суд вправе по требованию исполнившей сделку стороны признать сделку действительной. В этом случае последующее нотариальное удостоверение сделки не требуется.</w:t>
      </w:r>
    </w:p>
    <w:p w:rsidR="00A816B0" w:rsidRPr="00A816B0" w:rsidRDefault="00A816B0" w:rsidP="00A8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16B0">
        <w:rPr>
          <w:rFonts w:ascii="Arial" w:eastAsia="Times New Roman" w:hAnsi="Arial" w:cs="Arial"/>
          <w:sz w:val="20"/>
          <w:szCs w:val="20"/>
          <w:lang w:eastAsia="ru-RU"/>
        </w:rPr>
        <w:t>3. Если сделка, требующая государственной регистрации, совершена в надлежащей форме, но одна из сторон уклоняется от ее регистрации, суд вправе по требованию другой стороны вынести решение о регистрации сделки. В этом случае сделка регистрируется в соответствии с решением суда.</w:t>
      </w:r>
    </w:p>
    <w:p w:rsidR="00A816B0" w:rsidRPr="00A816B0" w:rsidRDefault="00A816B0" w:rsidP="00A8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16B0">
        <w:rPr>
          <w:rFonts w:ascii="Arial" w:eastAsia="Times New Roman" w:hAnsi="Arial" w:cs="Arial"/>
          <w:sz w:val="20"/>
          <w:szCs w:val="20"/>
          <w:lang w:eastAsia="ru-RU"/>
        </w:rPr>
        <w:t>4. В случаях, предусмотренных пунктами 2 и 3 настоящей статьи, сторона, необоснованно уклоняющаяся от нотариального удостоверения или государственной регистрации сделки, должна возместить другой стороне убытки, вызванные задержкой в совершении или регистрации сделки.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71"/>
    <w:rsid w:val="00A816B0"/>
    <w:rsid w:val="00B00171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2015-12-29T11:24:00Z</dcterms:created>
  <dcterms:modified xsi:type="dcterms:W3CDTF">2015-12-29T11:25:00Z</dcterms:modified>
</cp:coreProperties>
</file>