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C" w:rsidRPr="00954D6C" w:rsidRDefault="00954D6C" w:rsidP="00954D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4D6C">
        <w:rPr>
          <w:rFonts w:ascii="Times New Roman" w:hAnsi="Times New Roman" w:cs="Times New Roman"/>
          <w:sz w:val="24"/>
          <w:szCs w:val="24"/>
        </w:rPr>
        <w:t>Статья 605. Прекращение пожизненного содержания с иждивением</w:t>
      </w:r>
      <w:r w:rsidRPr="00954D6C">
        <w:rPr>
          <w:rFonts w:ascii="Times New Roman" w:hAnsi="Times New Roman" w:cs="Times New Roman"/>
          <w:sz w:val="24"/>
          <w:szCs w:val="24"/>
        </w:rPr>
        <w:br/>
      </w:r>
      <w:r w:rsidRPr="00954D6C">
        <w:rPr>
          <w:rFonts w:ascii="Times New Roman" w:hAnsi="Times New Roman" w:cs="Times New Roman"/>
          <w:sz w:val="24"/>
          <w:szCs w:val="24"/>
        </w:rPr>
        <w:br/>
      </w:r>
      <w:r w:rsidRPr="00954D6C">
        <w:rPr>
          <w:rFonts w:ascii="Times New Roman" w:hAnsi="Times New Roman" w:cs="Times New Roman"/>
          <w:sz w:val="24"/>
          <w:szCs w:val="24"/>
        </w:rPr>
        <w:t>1. Обязательство пожизненного содержания с иждивением прекращается смертью получателя ренты. 2. При существенном нарушении плательщиком ренты своих обязательств получатель ренты вправе потребовать возврата недвижимого имущества, переданного в обеспечение пожизненного содержания, либо выплаты ему выкупной цены на условиях, установленных статьей 594 настоящего Кодекса. При этом плательщик ренты не вправе требовать компенсацию расходов, понесенных в связи с содержанием получателя ренты.</w:t>
      </w:r>
    </w:p>
    <w:bookmarkEnd w:id="0"/>
    <w:p w:rsidR="00F96414" w:rsidRDefault="00F96414" w:rsidP="00954D6C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3C"/>
    <w:rsid w:val="00687A3C"/>
    <w:rsid w:val="00954D6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2016-01-15T12:22:00Z</dcterms:created>
  <dcterms:modified xsi:type="dcterms:W3CDTF">2016-01-15T12:24:00Z</dcterms:modified>
</cp:coreProperties>
</file>